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8ED" w:rsidRPr="002778ED" w:rsidRDefault="002778ED" w:rsidP="002778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2B2B2B"/>
          <w:sz w:val="28"/>
          <w:szCs w:val="28"/>
          <w:shd w:val="clear" w:color="auto" w:fill="FFFFFF"/>
        </w:rPr>
      </w:pPr>
      <w:r w:rsidRPr="002778ED">
        <w:rPr>
          <w:rFonts w:ascii="Times New Roman" w:hAnsi="Times New Roman" w:cs="Times New Roman"/>
          <w:b/>
          <w:color w:val="2B2B2B"/>
          <w:sz w:val="28"/>
          <w:szCs w:val="28"/>
          <w:shd w:val="clear" w:color="auto" w:fill="FFFFFF"/>
        </w:rPr>
        <w:t>Вопросы для подготовки к итоговому тестированию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1. С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овременные методы и инструменты для представления результатов научно-исследовательской деятельности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64169E" w:rsidRP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2.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ормы международного и российского законодательства в сфере интеллектуальной собственности и авторских прав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3. </w:t>
      </w:r>
      <w:proofErr w:type="gram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Т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еоретические основы и технологи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я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научно-исследовательской деятельности, суть и логик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а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проведения и проектирования научно-исследовательских работ в области физической культуры и спорта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4. </w:t>
      </w:r>
      <w:proofErr w:type="gram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етоды научно-исследовательской деятельности, анализа и оценки научных достижений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5.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етод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ы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математической статистики и логической интерпретации при обработке количественных и качественных результатов исследования в области физической культуры и спорта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6. П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орядок составления и оформления научной работы, научной статьи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7.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оказатели результативности научно-исследовательской работы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2778ED" w:rsidRP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8.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собенности проведения конкурсов </w:t>
      </w:r>
      <w:proofErr w:type="gramStart"/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российскими</w:t>
      </w:r>
      <w:proofErr w:type="gramEnd"/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и международными фондами-</w:t>
      </w:r>
      <w:proofErr w:type="spellStart"/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грантодателями</w:t>
      </w:r>
      <w:proofErr w:type="spellEnd"/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 требования к оформлению конкурсной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78ED" w:rsidRP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9. М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атематические, естественнонаучные и технические методы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, применяемые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для решения основных, нестандартных задач создания и применения искусственного интеллекта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10. Ф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ундаментальные научные принципы и методы исследовани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я.</w:t>
      </w:r>
    </w:p>
    <w:p w:rsidR="002778ED" w:rsidRP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11.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собенности решения профессиональных задач на основе применения новых научных принципов и методов исследования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12. </w:t>
      </w:r>
      <w:proofErr w:type="gramEnd"/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Л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огические методы и приемы научного исследования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13.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етодологические принципы современной науки, направления, концепции, источники знания и приемы работы с ними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14. О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сновные особенности научного метода познания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15.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рограммно-целевые методы решения научных проблем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16.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оделировани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е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управленческих решений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17.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Д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инамические оптимизационные модели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18.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атематические модели оптимального управления для непрерывных и дискретных процессов, их сравнительный анализ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19.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М</w:t>
      </w: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ногокритериальные методы принятия решений в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8ED" w:rsidRP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9-10 баллов – 85-100% правильных ответов в тесте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7-8 баллов – 75-84%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5-6 баллов – 60-74%</w:t>
      </w:r>
    </w:p>
    <w:p w:rsid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</w:pP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1-4 балла – 0-59%</w:t>
      </w:r>
    </w:p>
    <w:p w:rsidR="002778ED" w:rsidRPr="002778ED" w:rsidRDefault="002778ED" w:rsidP="002778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8ED">
        <w:rPr>
          <w:rFonts w:ascii="Times New Roman" w:hAnsi="Times New Roman" w:cs="Times New Roman"/>
          <w:color w:val="2B2B2B"/>
          <w:sz w:val="28"/>
          <w:szCs w:val="28"/>
          <w:shd w:val="clear" w:color="auto" w:fill="F3F3F3"/>
        </w:rPr>
        <w:t>0 баллов – тест не пройден</w:t>
      </w:r>
      <w:bookmarkStart w:id="0" w:name="_GoBack"/>
      <w:bookmarkEnd w:id="0"/>
    </w:p>
    <w:sectPr w:rsidR="002778ED" w:rsidRPr="00277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13"/>
    <w:rsid w:val="002778ED"/>
    <w:rsid w:val="00491F13"/>
    <w:rsid w:val="0064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8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1711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2021-10-26T06:29:00Z</dcterms:created>
  <dcterms:modified xsi:type="dcterms:W3CDTF">2021-10-26T06:49:00Z</dcterms:modified>
</cp:coreProperties>
</file>